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 w:rsidRPr="00DA141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Полное освобождение от уплаты земельного налога физических лиц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: 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дет</w:t>
            </w:r>
            <w:proofErr w:type="gram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и-</w:t>
            </w:r>
            <w:proofErr w:type="gram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4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5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6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7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6A6476" w:rsidRDefault="00DA056B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проживающие на территории Егорлыкского сельского поселения, имеющие детей-инвалидов и совместно проживающие с ними</w:t>
            </w:r>
          </w:p>
          <w:p w:rsidR="000627C7" w:rsidRPr="00E92953" w:rsidRDefault="00BC5DD6" w:rsidP="00DA056B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proofErr w:type="gramStart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</w:t>
            </w:r>
            <w:r w:rsidRPr="00BC5DD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  <w:proofErr w:type="gramEnd"/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EA306F" w:rsidP="003C6245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bookmarkStart w:id="0" w:name="_GoBack"/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Решение Собрания депутатов Егорлы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кского сельского поселения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  <w:bookmarkEnd w:id="0"/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Физ</w:t>
            </w:r>
            <w:r w:rsidR="00A43D57"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Герои Советского Союза, Герои Российской Федерации, полные кавалеры ордена Славы;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I и II групп инвалидности;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инвалиды с детства;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дет</w:t>
            </w:r>
            <w:proofErr w:type="gram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и-</w:t>
            </w:r>
            <w:proofErr w:type="gram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9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Закона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Теча</w:t>
            </w:r>
            <w:proofErr w:type="spellEnd"/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" и в соответствии с Федеральным </w:t>
            </w:r>
            <w:hyperlink r:id="rId11" w:history="1">
              <w:r w:rsidRPr="00DA056B">
                <w:rPr>
                  <w:rStyle w:val="a3"/>
                  <w:i/>
                  <w:spacing w:val="0"/>
                  <w:kern w:val="0"/>
                  <w:position w:val="0"/>
                  <w:sz w:val="24"/>
                  <w:szCs w:val="26"/>
                </w:rPr>
                <w:t>законом</w:t>
              </w:r>
            </w:hyperlink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физические лица, получившие или перенесшие лучевую болезнь или ставшие инвалидами в </w:t>
            </w: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результате испытаний, учений и иных работ, связанных с любыми видами ядерных установок, включая ядерное оружие и космическую технику.</w:t>
            </w:r>
          </w:p>
          <w:p w:rsidR="00DA056B" w:rsidRPr="00DA056B" w:rsidRDefault="00DA056B" w:rsidP="00DA056B">
            <w:pPr>
              <w:spacing w:after="240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проживающих с ними, получившие право на приобретение в собственность земельных участков в соответствии со статьями 8.2. и 8.3. Областного закона от 22.07.2003 № 19-ЗС «О регулировании земельных отношений в Ростовской области.</w:t>
            </w:r>
          </w:p>
          <w:p w:rsidR="00A43D57" w:rsidRDefault="00DA056B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Граждане Российской Федерации, проживающие на территории Егорлыкского сельского поселения, имеющие детей-инвалидов и совместно проживающие с ними</w:t>
            </w:r>
          </w:p>
          <w:p w:rsidR="00693715" w:rsidRDefault="00693715" w:rsidP="00FD05EF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  <w:p w:rsidR="00693715" w:rsidRPr="00A43D57" w:rsidRDefault="00693715" w:rsidP="00693715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proofErr w:type="gramStart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- Г</w:t>
            </w:r>
            <w:r w:rsidRPr="0069371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  <w:proofErr w:type="gramEnd"/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  <w:p w:rsidR="00A43D57" w:rsidRDefault="007645F6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01.01.2019</w:t>
            </w:r>
          </w:p>
          <w:p w:rsidR="007645F6" w:rsidRPr="00CB2038" w:rsidRDefault="003C6245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в отношении абзаца 4 </w:t>
            </w:r>
            <w:proofErr w:type="spellStart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пп</w:t>
            </w:r>
            <w:proofErr w:type="spellEnd"/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. 4.2.2 п.4.2 ч.4 Решения от 15.11.2018 года № 99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муниципального образования «Егорлыкское сельское поселение»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(дети-инвалиды) </w:t>
            </w:r>
            <w:r w:rsidRPr="003C624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распространяется на правоотношения, возникшие с исчислением </w:t>
            </w:r>
            <w:r w:rsidRPr="00CB2038">
              <w:rPr>
                <w:i/>
                <w:spacing w:val="0"/>
                <w:kern w:val="0"/>
                <w:position w:val="0"/>
                <w:sz w:val="24"/>
                <w:szCs w:val="24"/>
                <w:u w:val="none"/>
              </w:rPr>
              <w:t>земельного налога с 01.01.2015 года</w:t>
            </w:r>
          </w:p>
          <w:p w:rsidR="00CB2038" w:rsidRPr="00CB2038" w:rsidRDefault="00CB2038" w:rsidP="00CB2038">
            <w:pPr>
              <w:rPr>
                <w:i/>
                <w:sz w:val="24"/>
                <w:szCs w:val="24"/>
                <w:u w:val="none"/>
              </w:rPr>
            </w:pPr>
            <w:proofErr w:type="gramStart"/>
            <w:r w:rsidRPr="00CB2038">
              <w:rPr>
                <w:i/>
                <w:sz w:val="24"/>
                <w:szCs w:val="24"/>
                <w:u w:val="none"/>
              </w:rPr>
              <w:t>Подпункт 1.2. пункта 1 Решения от 24.10.2023 года № 60</w:t>
            </w:r>
            <w:r w:rsidRPr="00CB2038">
              <w:rPr>
                <w:i/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  <w:r w:rsidRPr="00CB2038">
              <w:rPr>
                <w:i/>
                <w:sz w:val="24"/>
                <w:szCs w:val="24"/>
                <w:u w:val="none"/>
              </w:rPr>
              <w:t>«О внесении изменений в решение Собрания депутатов Егорлыкского сельского поселения от 15.11.2018 года № 99 «О земельном налоге на территории муниципального образования «</w:t>
            </w:r>
            <w:proofErr w:type="spellStart"/>
            <w:r w:rsidRPr="00CB2038">
              <w:rPr>
                <w:i/>
                <w:sz w:val="24"/>
                <w:szCs w:val="24"/>
                <w:u w:val="none"/>
              </w:rPr>
              <w:t>Егорлыкское</w:t>
            </w:r>
            <w:proofErr w:type="spellEnd"/>
            <w:r w:rsidRPr="00CB2038">
              <w:rPr>
                <w:i/>
                <w:sz w:val="24"/>
                <w:szCs w:val="24"/>
                <w:u w:val="none"/>
              </w:rPr>
              <w:t xml:space="preserve"> сельское </w:t>
            </w:r>
            <w:r w:rsidRPr="00CB2038">
              <w:rPr>
                <w:i/>
                <w:sz w:val="24"/>
                <w:szCs w:val="24"/>
                <w:u w:val="none"/>
              </w:rPr>
              <w:lastRenderedPageBreak/>
              <w:t>поселение» вступает в силу с момента его опубликования и распространяется на правоотношения, возникшие с исчислением земельного налога за 2021, 2022 и 2023 годы.</w:t>
            </w:r>
            <w:proofErr w:type="gramEnd"/>
          </w:p>
          <w:p w:rsidR="00693715" w:rsidRPr="00A43D57" w:rsidRDefault="00693715" w:rsidP="00CB2038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налоговых расходов  Егорлыкского сельского поселения</w:t>
            </w:r>
          </w:p>
          <w:p w:rsidR="00A43D57" w:rsidRPr="00A43D57" w:rsidRDefault="00DA056B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DA056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Социальная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F318DD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муниципальных программ Егорлыкского сельского поселения, наименования нормативных правовых актов, определяющих цели социально-экономического развития Егорлыкского сельского поселения, не относящиеся к муниципальным программам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F318DD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Муниципальная программа Егорлыкского сельского поселения </w:t>
            </w:r>
            <w:r w:rsidR="00F318DD" w:rsidRP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Наименования структурных элементов муниципальных программ Егорлыкского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 Егорлыкского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Показатели (индикаторы) достижения целей муниципальных программ  Егорлыкского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2.6.</w:t>
            </w:r>
          </w:p>
        </w:tc>
        <w:tc>
          <w:tcPr>
            <w:tcW w:w="5245" w:type="dxa"/>
            <w:hideMark/>
          </w:tcPr>
          <w:p w:rsidR="006A647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796611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2018 год – </w:t>
            </w:r>
            <w:r w:rsidR="00F318D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648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</w:t>
            </w:r>
            <w:r w:rsidR="00162660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634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2020 год – </w:t>
            </w:r>
            <w:r w:rsidR="00335B7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253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2021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232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2022 год – </w:t>
            </w:r>
            <w:r w:rsidR="009E1B65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213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F318DD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Pr="00796611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Прогнозные (оценочные) значения показателей (индикаторов) достижения целей муниципальных программ Егорлыкского сельского поселения и (или) целей социально-экономического развития Егорлыкского сельского поселения, не относящихся к муниципальным программам Егорлыкского сельского поселения, в связи с предоставлением налоговых льгот, освобождений и иных преференций 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2023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2024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2025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2026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2027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2028 год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– 167</w:t>
            </w:r>
          </w:p>
          <w:p w:rsidR="00F00DCC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2029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  <w:p w:rsidR="00796611" w:rsidRPr="00796611" w:rsidRDefault="00F00DCC" w:rsidP="00363781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2030 год – </w:t>
            </w:r>
            <w:r w:rsidR="0036378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167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162660" w:rsidP="009E1B65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</w:t>
            </w:r>
            <w:r w:rsidR="00282070">
              <w:rPr>
                <w:i/>
                <w:sz w:val="24"/>
                <w:szCs w:val="26"/>
                <w:u w:val="none"/>
              </w:rPr>
              <w:t>22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</w:t>
            </w:r>
            <w:r w:rsidR="00242819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82070">
              <w:rPr>
                <w:i/>
                <w:sz w:val="24"/>
                <w:szCs w:val="26"/>
                <w:u w:val="none"/>
              </w:rPr>
              <w:t>–</w:t>
            </w:r>
            <w:r w:rsid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82070">
              <w:rPr>
                <w:i/>
                <w:sz w:val="24"/>
                <w:szCs w:val="26"/>
                <w:u w:val="none"/>
              </w:rPr>
              <w:t>19</w:t>
            </w:r>
            <w:r w:rsidR="00153DF4">
              <w:rPr>
                <w:i/>
                <w:sz w:val="24"/>
                <w:szCs w:val="26"/>
                <w:u w:val="none"/>
              </w:rPr>
              <w:t>7,0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lastRenderedPageBreak/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lastRenderedPageBreak/>
              <w:t>3.2.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82070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2024</w:t>
            </w:r>
            <w:r w:rsidR="002C1D44">
              <w:rPr>
                <w:i/>
                <w:sz w:val="24"/>
                <w:szCs w:val="26"/>
                <w:u w:val="none"/>
              </w:rPr>
              <w:t xml:space="preserve"> год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–</w:t>
            </w:r>
            <w:r w:rsidR="009E1B65">
              <w:rPr>
                <w:i/>
                <w:sz w:val="24"/>
                <w:szCs w:val="26"/>
                <w:u w:val="none"/>
              </w:rPr>
              <w:t xml:space="preserve"> </w:t>
            </w:r>
            <w:r w:rsidR="000D52D3">
              <w:rPr>
                <w:i/>
                <w:sz w:val="24"/>
                <w:szCs w:val="26"/>
                <w:u w:val="none"/>
              </w:rPr>
              <w:t>19</w:t>
            </w:r>
            <w:r>
              <w:rPr>
                <w:i/>
                <w:sz w:val="24"/>
                <w:szCs w:val="26"/>
                <w:u w:val="none"/>
              </w:rPr>
              <w:t>8,0</w:t>
            </w:r>
          </w:p>
          <w:p w:rsidR="00242819" w:rsidRPr="00242819" w:rsidRDefault="00282070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2025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– </w:t>
            </w:r>
            <w:r w:rsidR="000D52D3">
              <w:rPr>
                <w:i/>
                <w:sz w:val="24"/>
                <w:szCs w:val="26"/>
                <w:u w:val="none"/>
              </w:rPr>
              <w:t>19</w:t>
            </w:r>
            <w:r>
              <w:rPr>
                <w:i/>
                <w:sz w:val="24"/>
                <w:szCs w:val="26"/>
                <w:u w:val="none"/>
              </w:rPr>
              <w:t>8,0</w:t>
            </w:r>
          </w:p>
          <w:p w:rsidR="00242819" w:rsidRPr="006A6476" w:rsidRDefault="00282070" w:rsidP="000D52D3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2026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</w:t>
            </w:r>
            <w:r w:rsidR="002C1D4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242819" w:rsidRPr="00242819">
              <w:rPr>
                <w:i/>
                <w:sz w:val="24"/>
                <w:szCs w:val="26"/>
                <w:u w:val="none"/>
              </w:rPr>
              <w:t>–</w:t>
            </w:r>
            <w:r w:rsidR="007E4575">
              <w:rPr>
                <w:i/>
                <w:sz w:val="24"/>
                <w:szCs w:val="26"/>
                <w:u w:val="none"/>
              </w:rPr>
              <w:t xml:space="preserve"> </w:t>
            </w:r>
            <w:r w:rsidR="000D52D3">
              <w:rPr>
                <w:i/>
                <w:sz w:val="24"/>
                <w:szCs w:val="26"/>
                <w:u w:val="none"/>
              </w:rPr>
              <w:t>19</w:t>
            </w:r>
            <w:r>
              <w:rPr>
                <w:i/>
                <w:sz w:val="24"/>
                <w:szCs w:val="26"/>
                <w:u w:val="none"/>
              </w:rPr>
              <w:t>8,0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82070" w:rsidP="005F7F8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213</w:t>
            </w:r>
            <w:r w:rsidR="00242819" w:rsidRPr="00242819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282070" w:rsidP="00924D9C">
            <w:pPr>
              <w:rPr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9822</w:t>
            </w:r>
            <w:r w:rsidR="003127E4" w:rsidRPr="00242819">
              <w:rPr>
                <w:i/>
                <w:sz w:val="24"/>
                <w:szCs w:val="26"/>
                <w:u w:val="none"/>
              </w:rPr>
              <w:t xml:space="preserve">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061172" w:rsidP="005F7F8D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2023</w:t>
            </w:r>
            <w:r w:rsidR="003127E4">
              <w:rPr>
                <w:i/>
                <w:sz w:val="24"/>
                <w:szCs w:val="26"/>
                <w:u w:val="none"/>
              </w:rPr>
              <w:t xml:space="preserve"> год </w:t>
            </w:r>
            <w:r w:rsidR="00282070">
              <w:rPr>
                <w:i/>
                <w:sz w:val="24"/>
                <w:szCs w:val="26"/>
                <w:u w:val="none"/>
              </w:rPr>
              <w:t>–</w:t>
            </w:r>
            <w:r w:rsidR="00242819" w:rsidRPr="003127E4">
              <w:rPr>
                <w:i/>
                <w:sz w:val="24"/>
                <w:szCs w:val="26"/>
                <w:u w:val="none"/>
              </w:rPr>
              <w:t xml:space="preserve"> </w:t>
            </w:r>
            <w:r w:rsidR="00232018">
              <w:rPr>
                <w:i/>
                <w:sz w:val="24"/>
                <w:szCs w:val="26"/>
                <w:u w:val="none"/>
              </w:rPr>
              <w:t>1</w:t>
            </w:r>
            <w:r w:rsidR="00282070">
              <w:rPr>
                <w:i/>
                <w:sz w:val="24"/>
                <w:szCs w:val="26"/>
                <w:u w:val="none"/>
              </w:rPr>
              <w:t>98,0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FD05EF" w:rsidRDefault="00FD05EF" w:rsidP="00924D9C">
            <w:pPr>
              <w:rPr>
                <w:i/>
                <w:sz w:val="24"/>
                <w:szCs w:val="26"/>
                <w:u w:val="none"/>
              </w:rPr>
            </w:pPr>
          </w:p>
          <w:p w:rsidR="003127E4" w:rsidRPr="003127E4" w:rsidRDefault="00282070" w:rsidP="00232018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1930,0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/>
    <w:sectPr w:rsidR="00A76F50" w:rsidSect="00FD05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FB6"/>
    <w:rsid w:val="00061172"/>
    <w:rsid w:val="000627C7"/>
    <w:rsid w:val="000D52D3"/>
    <w:rsid w:val="00153DF4"/>
    <w:rsid w:val="00162660"/>
    <w:rsid w:val="00211039"/>
    <w:rsid w:val="00232018"/>
    <w:rsid w:val="00242819"/>
    <w:rsid w:val="00282070"/>
    <w:rsid w:val="002C1D44"/>
    <w:rsid w:val="003127E4"/>
    <w:rsid w:val="00335B7D"/>
    <w:rsid w:val="00354DD4"/>
    <w:rsid w:val="00363781"/>
    <w:rsid w:val="003C20D1"/>
    <w:rsid w:val="003C6245"/>
    <w:rsid w:val="004241FF"/>
    <w:rsid w:val="00497524"/>
    <w:rsid w:val="00535730"/>
    <w:rsid w:val="00576C42"/>
    <w:rsid w:val="005F6FB6"/>
    <w:rsid w:val="005F7F8D"/>
    <w:rsid w:val="006001E5"/>
    <w:rsid w:val="006178C9"/>
    <w:rsid w:val="00693715"/>
    <w:rsid w:val="006A6476"/>
    <w:rsid w:val="006F62AC"/>
    <w:rsid w:val="007645F6"/>
    <w:rsid w:val="00796611"/>
    <w:rsid w:val="007E4575"/>
    <w:rsid w:val="008A799E"/>
    <w:rsid w:val="008B0B46"/>
    <w:rsid w:val="009E1B65"/>
    <w:rsid w:val="00A43D57"/>
    <w:rsid w:val="00A465BD"/>
    <w:rsid w:val="00A76F50"/>
    <w:rsid w:val="00A82E18"/>
    <w:rsid w:val="00BC5DD6"/>
    <w:rsid w:val="00C7237B"/>
    <w:rsid w:val="00CB2038"/>
    <w:rsid w:val="00CC5A83"/>
    <w:rsid w:val="00DA056B"/>
    <w:rsid w:val="00E92953"/>
    <w:rsid w:val="00EA306F"/>
    <w:rsid w:val="00F00DCC"/>
    <w:rsid w:val="00F318DD"/>
    <w:rsid w:val="00F829DF"/>
    <w:rsid w:val="00FD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5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42"/>
    <w:rPr>
      <w:rFonts w:ascii="Segoe UI" w:eastAsia="Times New Roman" w:hAnsi="Segoe UI" w:cs="Segoe UI"/>
      <w:spacing w:val="20"/>
      <w:kern w:val="40"/>
      <w:position w:val="6"/>
      <w:sz w:val="18"/>
      <w:szCs w:val="18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5680A09CF5C12C94527867044C6258FD77BBBbCjC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9318A83213D472A87034C9C4F81C06D2248D4E180B680A09CF5C12C9b4j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318A83213D472A87034C9C4F81C06D22B8E42130B680A09CF5C12C9b4j5G" TargetMode="External"/><Relationship Id="rId11" Type="http://schemas.openxmlformats.org/officeDocument/2006/relationships/hyperlink" Target="consultantplus://offline/ref=279318A83213D472A87034C9C4F81C06D2248D4E180B680A09CF5C12C9b4j5G" TargetMode="External"/><Relationship Id="rId5" Type="http://schemas.openxmlformats.org/officeDocument/2006/relationships/hyperlink" Target="consultantplus://offline/ref=279318A83213D472A87034C9C4F81C06D22F8B4E1107350001965010CE4A7891770DCA248FD77BbBjBG" TargetMode="External"/><Relationship Id="rId10" Type="http://schemas.openxmlformats.org/officeDocument/2006/relationships/hyperlink" Target="consultantplus://offline/ref=279318A83213D472A87034C9C4F81C06D22B8E42130B680A09CF5C12C9b4j5G" TargetMode="External"/><Relationship Id="rId4" Type="http://schemas.openxmlformats.org/officeDocument/2006/relationships/hyperlink" Target="consultantplus://offline/ref=279318A83213D472A87034C9C4F81C06D2248D4E1805680A09CF5C12C94527867044C6258FD77BBBbCjCG" TargetMode="External"/><Relationship Id="rId9" Type="http://schemas.openxmlformats.org/officeDocument/2006/relationships/hyperlink" Target="consultantplus://offline/ref=279318A83213D472A87034C9C4F81C06D22F8B4E1107350001965010CE4A7891770DCA248FD77BbB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Arhiv21</cp:lastModifiedBy>
  <cp:revision>5</cp:revision>
  <cp:lastPrinted>2023-08-08T09:04:00Z</cp:lastPrinted>
  <dcterms:created xsi:type="dcterms:W3CDTF">2024-08-02T14:06:00Z</dcterms:created>
  <dcterms:modified xsi:type="dcterms:W3CDTF">2024-08-06T13:47:00Z</dcterms:modified>
</cp:coreProperties>
</file>